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2008/36 vom 28. Oktober 2008</w:t>
      </w:r>
    </w:p>
    <w:p>
      <w:r>
        <w:t>Sg Versicherungsgericht, 2008-10-28, DE</w:t>
      </w:r>
    </w:p>
    <w:p>
      <w:r>
        <w:rPr>
          <w:b/>
        </w:rPr>
        <w:t xml:space="preserve">Quelle: </w:t>
      </w:r>
      <w:r>
        <w:t>https://mcp.opencaselaw.ch/entscheid/sg_publikationen_UV 2008_36</w:t>
      </w:r>
    </w:p>
    <w:p>
      <w:r>
        <w:t>FR: SG_VERSICHERUNGSGERICHT UV 2008/36 du 28 octobre 2008</w:t>
      </w:r>
    </w:p>
    <w:p>
      <w:r>
        <w:t>IT: SG_VERSICHERUNGSGERICHT UV 2008/36 del 28 ottobre 2008</w:t>
      </w:r>
    </w:p>
    <w:p>
      <w:pPr>
        <w:pStyle w:val="Heading2"/>
      </w:pPr>
      <w:r>
        <w:t>Regeste</w:t>
      </w:r>
    </w:p>
    <w:p>
      <w:r>
        <w:t>Art. 17 ATSG. Revision einer Invalidenrente der Unfallversicherung. Prüfung der Frage der Erheblichkeit der Änderung in den persönlichen Verhältnissen (Gesundheitszustand) (Entscheid des Versicherungsgerichts des Kantons St. Gallen vom 28. Oktober 2008, UV 2008/36).</w:t>
      </w:r>
    </w:p>
    <w:p>
      <w:pPr>
        <w:pStyle w:val="Heading2"/>
      </w:pPr>
      <w:r>
        <w:t>Erwägungen</w:t>
      </w:r>
    </w:p>
    <w:p>
      <w:r>
        <w:rPr>
          <w:b/>
        </w:rPr>
        <w:t>E. 1</w:t>
      </w:r>
    </w:p>
    <w:p>
      <w:r>
        <w:t>1.1    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Wie bei der Neuanmeldung (BGE 130 V 71) ist auch bei der Rentenrevision (auf Gesuch hin oder von Amtes wegen)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bzw. des Einspracheentscheids. 1.2    Kreisarzt Dr. med. B.___ kam im Bericht vom 26. November 2002 zum Schluss, seitens des Bewegungsapparates sei die Zumutbarkeit einer Arbeitstätigkeit gegenüber 1986 unverändert, d.h. es kämen nur leichte körperliche Belastungen in Frage. Die Arme könnten in den Schultergelenken nur unterhalb der Horizontalen eingesetzt werden. Langes Gehen und Stehen sei ungünstig, desgleichen Tätigkeiten auf unebenem Gelände, auf Leitern oder Gerüsten. Ideal sei aus der Sicht des Bewegungsapparates eine leichte wechselbelastende körperliche Tätigkeit. Die neuropsychologischen Ausfälle würden zu Einbussen bei der Gedächtnisleistung und der Konzentration führen. Die Ermüdbarkeit und der dadurch bedingte Leistungsabfall habe seit einigen Jahren zu einem Halbtageseinsatz geführt (UV-act. 310). Eine neuropsychologische Abklärung in der Rehaklinik Bellikon ergab gemäss Bericht vom 13. Februar 2003 unter anderem, verglichen mit den früheren neuropsychologischen Untersuchungen, insbesondere jener vom 29. Juli 1994, sei der Gesamtzustand kaum verändert (UV-act. 319). Dr. med. C.___, Innere Medizin FMH, berichtete am 4. Dezember 2003, im Sommer habe sich eine Schmerzexazerbation im Bereich der Schulter ergeben. Der Arm könne funktionell kaum eingesetzt werden (UV-act. 337). Am 30. Dezember 2004 bestätigte Dr. med. D.___, FMH Allgemeinmedizin, einen verschlechterten Gesundheitszustand. Der Beschwerdeführer klage über ständige Schmerzen in der linken Schulter (UV-act. 346, 348). Eine Begutachtung im Zentrum für Arbeitsmedizin, Ergonomie und Hygiene AG (AEH), Zürich, ergab gemäss Bericht vom 31. Mai 2006 die Zumutbarkeit einer sehr leichten, überwiegend sitzenden Tätigkeit mit Einsatz des linken Arms als Hilfshand theoretisch halbtags mit zusätzlich vermehrten Pausen von einer Stunde. Aus psychiatrischer Sicht hielten die Ärzte der Klinik Gais im Bericht vom 9. März 2007 als Diagnosen mit Auswirkung auf die Arbeitsfähigkeit eine leichte neuropsychologische Funktionsstörung im Sinn eines organisch-anamnestischen Syndroms sowie eine Anpassungsstörung mit längerer depressiver Reaktion fest. Aus psychiatrischer Sicht bestehe eine Arbeitsunfähigkeit von 50 % in jeder leichten Tätigkeit. Zumutbar seien leichte Tätigkeiten mit geringer kognitiver und psychischer Belastung während vier bis fünf Stunden pro Tag mit regelmässigen kurzen Pausen. Als interdisziplinären Konsens hielten die Gutachter des AEH am 5. April 2007 fest, dem Beschwerdeführer sei eine körperlich sehr leichte und vorwiegend sitzende Tätigkeit mit Einsatz des linken Arms als Hilfshand und geringer kognitiver und psychischer Belastung halbtags mit zusätzlich um eine Stunde vermehrten Pausen zumutbar (UV-act. 370 Beilagen). Der RAD-Arzt E.___ schloss daraus, dass (bei einer Arbeitsfähigkeit von drei Stunden pro Tag) eine messbare Verschlechterung des Gesundheitszustands seit 2004 objektiviert sei. Er schlug vor, den Zeitpunkt der Verschlechterung ca. ein halbes Jahr nach der letzten Rentenrevision anzusetzen, also auf Anfang 2005 (UV-act. 370 Beilagen). Am 14. und 17. September 2007 berichtete Dr. med. F.___, Orthopädie am Rosenberg, über einen Untersuch des Beschwerdeführers (UV-act. 376f).</w:t>
      </w:r>
    </w:p>
    <w:p>
      <w:r>
        <w:rPr>
          <w:b/>
        </w:rPr>
        <w:t>E. 2</w:t>
      </w:r>
    </w:p>
    <w:p>
      <w:r>
        <w:t>2.1    Aufgrund der medizinischen Akten ist als belegt zu erachten, dass sich seit der letzten, auf den 1. Mai 2003 erfolgten Erhöhung des IV-Grads auf 69 % (UV-act. 324) beim Beschwerdeführer eine gesundheitliche Verschlechterung ergeben hat. Die Beschwerdegegnerin legte im Zusammenhang mit der streitigen Rentenrevision das Valideneinkommen auf der Basis des Einkommens fest, welches der Beschwerdeführer ohne Eintritt des Unfalls als Maschinenzeichner im Jahr 2007 hätte verdienen können (Fr. 73'557.--). Das Invalideneinkommen ermittelte sie auf der Grundlage des Zentralwerts für die mit einfachen und repetitiven Aufgaben beschäftigten Männer im privaten Sektor gemäss LSE 2006 TA1 und errechnete für 2007 ein Jahreseinkommen von Fr. 60'144.--; diesen Betrag reduzierte sie wegen der 50 %-Einschränkung mit zusätzlich einstündiger Pause um insgesamt 62 % und berücksichtigte sodann einen Leidensabzug von 25 %. Wenn die Beschwerdegegnerin nunmehr in der Beschwerdeantwort den Leidensabzug (im Sinn eines Eventualstandpunktes) als überhöht qualifiziert, so ist festzuhalten, dass gemäss Gutachten des AEH dem Beschwerdeführer eine körperlich sehr leichte und vorwiegend sitzende Tätigkeit mit Einsatz des linken Armes nur als Hilfshand und geringer kognitiver und psychischer Belastung halbtags mit zusätzlich um eine Stunde vermehrten Pausen zumutbar ist (UV-act. 370 Beilagen). Dabei handelt es sich um ganz beträchtliche Einschränkungen sowohl in somatischer als auch psychischer Hinsicht, welche eine entsprechende Akzeptanz und Rücksichtnahme des Arbeitgebers sowie Flexibilität des Arbeitsplatzes voraussetzen und sich daher auf dem für den Beschwerdeführer in Betracht kommenden Arbeitsmarkt in lohnmässiger Hinsicht erheblich auswirken dürften. Es trifft zwar zu, dass die Pausenbedürftigkeit bereits im zumutbaren Pensum Berücksichtigung fand (act. G 3 S. 4 mit Hinweis auf Urteil des EVG vom 9. Dezember 2002 [U 200/01] i/S A., Erw. 4.2.3). Jedoch ist zu beachten, dass gerade die Notwendigkeit des Einschaltens von Pausen die in Betracht kommenden Arbeitsplätze zusätzlich einschränkt und sich zudem lohnmindernd auswirken dürfte. Der Beschwerdeführer ist soweit ersichtlich überdies in somatischer (körperlich sehr leichte Tätigkeit; linke Hand nur als Hilfshand) und psychischer Hinsicht erheblich stärker beeinträchtigt als die betroffene Person im erwähnten Urteil U 200/01. Sodann ist - bei einer Arbeitsfähigkeit von 38 % - neben dem eigentlichen Leidensabzug ein Teilzeitabzug vorzusehen (vgl. Urteil des EVG vom 4. Oktober 2007 i/S G. [I 793/06] Erw. 2.2). Es besteht daher im Ergebnis kein Anlass, von dem auch von der Beschwerdegegnerin zugestandenen Abzug von insgesamt 25 % abzurücken. Nach Berücksichtigung dieses Leidensabzuges resultiert ein zumutbares Invalideneinkommen von Fr. 17'141.--. Die Gegenüberstellung der beiden Einkommen ergibt eine Erwerbsunfähigkeit von (aufgerundet) 77 % (UV-act. 375; act. G 3 S. 3). Von diesem Wert ist nachstehend auszugehen. 2.2    Streitig ist, ob es sich bei der Erhöhung des Erwerbsunfähigkeitsgrads von 69 % auf 77 % um eine erhebliche Änderung im Sinn von Art. 17 ATSG handelt. Nach der Rechtsprechung in der Invalidenversicherung kann auch eine geringfügige Änderung des Sachverhalts Anlass zu einer Revision der Rente geben, sofern sie zu einer Über- oder Unterschreitung eines Schwellenwertes führt (BGE 133 V 545 Erw. 6 mit Hinweisen auf Lehre und Rechtsprechung). Die Revision betrifft Änderungen in den persönlichen Verhältnissen der versicherten Person (gesundheitliche Umstände, erwerbliche Faktoren). Geringfügige Änderungen statistischer Daten führen dagegen nicht zu einer Revision von Invalidenrenten, selbst wenn durch solche Veränderungen ein Schwellenwert über- oder unterschritten wird (BGE 133 V 545 Erw. 7). Konkret ist die Änderung nicht in statistischen Zahlenverschiebungen, sondern in den persönlichen Verhältnissen (gesundheitliche Situation) des Beschwerdeführers begründet. Die Rechtsprechung bejahte die Erheblichkeit einer Änderung bei einer Veränderung des Erwerbsunfähigkeitsgrads um 5 % (BGE 133 V 545 Erw. 6.2 mit Hinweis auf Urteil des EVG vom 19. Juli 2006 i/S F. [U 267/05] Erw. 3.3). Im vorerwähnten Urteil U 267/05 (Erw. 3.3) wurde jedoch nicht nur der absoluten Änderung, sondern auch der prozentualen Erhöhung eine Bedeutung beigemessen und die Erheblichkeit verneint, weil sich der Erwerbsunfähigkeit lediglich von 70 auf 74 % bzw. relativ um 5.7 % erhöht hatte. In einem Teil der vom Bundesgericht im Urteil U 267/05 zitierten Literatur wurde es als gerechtfertigt erachtet, die Erheblichkeit allgemein zu bejahen, wenn sich der bisherige Invaliditätsgrad (relativ) um wenigstens 20 % ändere (Alfred Maurer, Schweizerisches Unfallversicherungsrecht, 2.A., S. 392). Andere, zum Teil ebenfalls vom Bundesgericht angeführte Literaturmeinungen beriefen sich demgegenüber auf eine Praxis, gemäss welcher bei über 50 % liegenden Invaliditätsgraden kumulativ eine absolute Veränderung von 5 % und eine relative Veränderung von mindestens 10 % verlangt seien (Ueli Kieser, ATSG-Kommentar, Rz 15 zu Art. 17 ATSG, mit Hinweis auf Jürg Maeschi, Kommentar zum Bundesgesetz über die Militärversicherung, 1999, Rz 15 und 16 zu Art. 44 MVG). Im neueren Urteil (BGE 133 V 545 Erw. 6.2) wurde allerdings A. Maurer und auch die von ihm vertretene Auffassung nicht mehr angeführt, hingegen ausdrücklich auf die weiteren, bereits erwähnten Autoren Kieser und Maeschi verwiesen. In Anbetracht des Umstandes, dass in der Invalidenversicherung auch eine geringfügige Änderung des Sachverhalts mit einer absoluten Änderung des IV-Grads von 0.25 % Anlass zu einer Revision der Rente geben kann, sofern sie nur zu einer Über- oder Unterschreitung eines in der IV festgelegten Schwellenwertes (40, 50, 60 oder 70 %) führt (BGE 133 V 545 Erw. 6), erschiene es nicht sachlich gerechtfertigt, in der Unfallversicherung viel strengere Anforderungen an die Erheblichkeit zu stellen. Dabei ist insbesondere zu beachten, dass in der Unfallversicherung jedes einzelne Erwerbsunfähigkeits-Prozent über der Eintrittsschwelle von 10 % rentenwirksam ist (Art. 18 Abs. 1 UVG) und damit an sich ebenfalls geeignet ist, einen Schwellenwert im Sinn von BGE 133 V 545 Erw. 6 darzustellen. Mit Blick darauf, dass in der Unfallversicherung für den Rentenanspruch - im Sinn einer Erheblichkeitsschwelle - ein Mindestinvaliditätsgrad von 10 % erforderlich ist, erscheint es gerechtfertigt, die untere Grenze der relativen Veränderung für eine Revision ebenfalls mit 10 % festzusetzen. Die Frage, ob das Urteil U 267/07 in BGE 133 V 545 Erw. 6.2 (= 9C_237/2007) falsch zitiert wurde, wie die Beschwerdegegnerin geltend macht (act. G 3 S. 3), kann bei diesem Ergebnis offenbleiben. Immerhin ist jedoch festzuhalten, dass das Bundesgericht im erwähnten publizierten Entscheid sich - wenn auch nur im Rahmen eines obiter dictum - offenbar auf eine Untergrenze von 5 % (absoluter Wert) festlegte. Im konkreten Fall geht es um eine Zunahme der Erwerbsunfähigkeit von 8 % (absolut) bzw. 11.59 % (relativ). Die Erheblichkeit im vorerwähnten Sinn ist damit zu bejahen und die Rente daher für die Zukunft (vgl. Art. 17 ATSG), d.h. im Nachgang zum Revisionsgesuch vom 12. Oktober 2007 (UV-act. 371), auf den 1. November 2007 entsprechend zu revidieren.</w:t>
      </w:r>
    </w:p>
    <w:p>
      <w:r>
        <w:rPr>
          <w:b/>
        </w:rPr>
        <w:t>E. 3</w:t>
      </w:r>
    </w:p>
    <w:p>
      <w:r>
        <w:t>Im Sinn der vorstehenden Erwägungen ist die Beschwerde unter Aufhebung des Einspracheentscheids vom 20. Februar 2008 gutzuheissen und die Beschwerdegegnerin zu verpflichten, dem Beschwerdeführer ab 1. November 2007 eine revidierte Rente auf der Basis eines IV-Grads von 77 % auszurichten. Gerichtskosten sind keine zu erheben (Art. 61 lit. a ATSG). Der Beschwerdeführer hat bei diesem Verfahrensausgang Anspruch auf Parteientschädigung (Art. 61 lit. g ATSG). Es rechtfertigt sich, diese angesichts der konkreten Gegebenheiten auf pauschal Fr. 3'000.-- (einschliesslich Barauslagen und Mehrwertsteuer) festzulegen. Demgemäss hat das Versicherungsgericht im Zirkulationsverfahren gemäss Art. 53 GerG entschieden: 1.        In Gutheissung der Beschwerde wird der Einspracheentscheid vom 20. Februar 2008 aufgehoben und die Beschwerdegegnerin verpflichtet, dem Beschwerdeführer ab 1. November 2007 eine revidierte Rente auf der Basis eines IV-Grads von 77 % auszurichten. 2.        Es werden keine Gerichtskosten erhoben. 3.        Die Beschwerdegegnerin hat dem Beschwerdeführer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